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74F" w:rsidRPr="00A14A61" w:rsidRDefault="00A4374F" w:rsidP="00A14A61">
      <w:pPr>
        <w:pStyle w:val="a00"/>
      </w:pPr>
    </w:p>
    <w:p w:rsidR="00A4374F" w:rsidRDefault="00412783">
      <w:pPr>
        <w:pStyle w:val="1"/>
        <w:rPr>
          <w:rFonts w:eastAsia="Times New Roman"/>
        </w:rPr>
      </w:pPr>
      <w:r>
        <w:rPr>
          <w:rFonts w:eastAsia="Times New Roman"/>
        </w:rPr>
        <w:t>Изменения в порядке ведения книги замечаний и предложений.</w:t>
      </w:r>
      <w:r>
        <w:rPr>
          <w:rFonts w:eastAsia="Times New Roman"/>
        </w:rPr>
        <w:br/>
        <w:t>Комментарий к </w:t>
      </w:r>
      <w:hyperlink r:id="rId5" w:anchor="a1" w:tooltip="+" w:history="1">
        <w:r>
          <w:rPr>
            <w:rStyle w:val="a3"/>
            <w:rFonts w:eastAsia="Times New Roman"/>
          </w:rPr>
          <w:t>постановлению</w:t>
        </w:r>
      </w:hyperlink>
      <w:r>
        <w:rPr>
          <w:rFonts w:eastAsia="Times New Roman"/>
        </w:rPr>
        <w:t xml:space="preserve"> Совмина от 19.12.2022 № 877</w:t>
      </w:r>
    </w:p>
    <w:p w:rsidR="00A4374F" w:rsidRDefault="00412783">
      <w:pPr>
        <w:pStyle w:val="justify"/>
      </w:pPr>
      <w:r>
        <w:rPr>
          <w:b/>
          <w:bCs/>
        </w:rPr>
        <w:t xml:space="preserve">С 2 января 2023 г. </w:t>
      </w:r>
      <w:r>
        <w:t xml:space="preserve">вступает в силу комментируемое постановление, которым внесены изменения в </w:t>
      </w:r>
      <w:hyperlink r:id="rId6" w:anchor="a82" w:tooltip="+" w:history="1">
        <w:r>
          <w:rPr>
            <w:rStyle w:val="a3"/>
          </w:rPr>
          <w:t>постановление</w:t>
        </w:r>
      </w:hyperlink>
      <w:r>
        <w:t xml:space="preserve"> Совмина от 16.03.2005 № 285 «О 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 Беларусь».</w:t>
      </w:r>
    </w:p>
    <w:p w:rsidR="00A4374F" w:rsidRDefault="00412783">
      <w:pPr>
        <w:pStyle w:val="justify"/>
      </w:pPr>
      <w:r>
        <w:br/>
        <w:t>Рассмотрели, что изменилось в порядке ведения книги замечаний и предложений, в разделах:</w:t>
      </w:r>
    </w:p>
    <w:p w:rsidR="00A4374F" w:rsidRDefault="00412783">
      <w:pPr>
        <w:jc w:val="both"/>
        <w:divId w:val="188647768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2" w:tooltip="+" w:history="1">
        <w:r>
          <w:rPr>
            <w:rFonts w:ascii="Arial" w:eastAsia="Times New Roman" w:hAnsi="Arial" w:cs="Arial"/>
            <w:color w:val="000000"/>
          </w:rPr>
          <w:t>Новая форма книги замечаний и предложений</w:t>
        </w:r>
      </w:hyperlink>
    </w:p>
    <w:p w:rsidR="00A4374F" w:rsidRDefault="00412783">
      <w:pPr>
        <w:jc w:val="both"/>
        <w:divId w:val="2059947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2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3" w:tooltip="+" w:history="1">
        <w:r>
          <w:rPr>
            <w:rFonts w:ascii="Arial" w:eastAsia="Times New Roman" w:hAnsi="Arial" w:cs="Arial"/>
            <w:color w:val="000000"/>
          </w:rPr>
          <w:t>Кто обязан вести книгу замечаний и предложений</w:t>
        </w:r>
      </w:hyperlink>
    </w:p>
    <w:p w:rsidR="00A4374F" w:rsidRDefault="00412783">
      <w:pPr>
        <w:pStyle w:val="2"/>
        <w:rPr>
          <w:rFonts w:eastAsia="Times New Roman"/>
        </w:rPr>
      </w:pPr>
      <w:bookmarkStart w:id="0" w:name="a2"/>
      <w:bookmarkEnd w:id="0"/>
      <w:r>
        <w:rPr>
          <w:rFonts w:eastAsia="Times New Roman"/>
        </w:rPr>
        <w:t>Новая форма книги замечаний и предложений</w:t>
      </w:r>
    </w:p>
    <w:p w:rsidR="00A4374F" w:rsidRDefault="00412783">
      <w:pPr>
        <w:pStyle w:val="justify"/>
      </w:pPr>
      <w:r>
        <w:t>Определена новая форма книги замечаний и предложений (абз.</w:t>
      </w:r>
      <w:hyperlink r:id="rId7" w:anchor="a20" w:tooltip="+" w:history="1">
        <w:r>
          <w:rPr>
            <w:rStyle w:val="a3"/>
          </w:rPr>
          <w:t>7</w:t>
        </w:r>
      </w:hyperlink>
      <w:r>
        <w:t>, 8 подп.1.1 п.1 постановления № 877).</w:t>
      </w:r>
    </w:p>
    <w:p w:rsidR="00A4374F" w:rsidRDefault="00412783">
      <w:pPr>
        <w:pStyle w:val="justify"/>
      </w:pPr>
      <w:r>
        <w:t xml:space="preserve">При этом книги замечаний и предложений, изготовленные до вступления в силу </w:t>
      </w:r>
      <w:hyperlink r:id="rId8" w:anchor="a1" w:tooltip="+" w:history="1">
        <w:r>
          <w:rPr>
            <w:rStyle w:val="a3"/>
          </w:rPr>
          <w:t>постановления</w:t>
        </w:r>
      </w:hyperlink>
      <w:r>
        <w:t xml:space="preserve"> № 877, </w:t>
      </w:r>
      <w:r>
        <w:rPr>
          <w:b/>
          <w:bCs/>
        </w:rPr>
        <w:t>выдаются</w:t>
      </w:r>
      <w:r>
        <w:t xml:space="preserve"> организациям и ИП </w:t>
      </w:r>
      <w:r>
        <w:rPr>
          <w:b/>
          <w:bCs/>
        </w:rPr>
        <w:t>до их полного расходования</w:t>
      </w:r>
      <w:r>
        <w:t xml:space="preserve"> и </w:t>
      </w:r>
      <w:r>
        <w:rPr>
          <w:b/>
          <w:bCs/>
        </w:rPr>
        <w:t>используются</w:t>
      </w:r>
      <w:r>
        <w:t xml:space="preserve"> ими </w:t>
      </w:r>
      <w:r>
        <w:rPr>
          <w:b/>
          <w:bCs/>
        </w:rPr>
        <w:t>до полного заполнения</w:t>
      </w:r>
      <w:r>
        <w:t xml:space="preserve"> всех страниц книги, предназначенных для внесения замечаний и (или) предложений и информации об их рассмотрении (</w:t>
      </w:r>
      <w:hyperlink r:id="rId9" w:anchor="a18" w:tooltip="+" w:history="1">
        <w:r>
          <w:rPr>
            <w:rStyle w:val="a3"/>
          </w:rPr>
          <w:t>ч.1</w:t>
        </w:r>
      </w:hyperlink>
      <w:r>
        <w:t xml:space="preserve"> п.2 постановления № 877).</w:t>
      </w:r>
    </w:p>
    <w:p w:rsidR="00A4374F" w:rsidRDefault="00412783">
      <w:pPr>
        <w:pStyle w:val="2"/>
        <w:rPr>
          <w:rFonts w:eastAsia="Times New Roman"/>
        </w:rPr>
      </w:pPr>
      <w:bookmarkStart w:id="1" w:name="a3"/>
      <w:bookmarkEnd w:id="1"/>
      <w:r>
        <w:rPr>
          <w:rFonts w:eastAsia="Times New Roman"/>
        </w:rPr>
        <w:t>Кто обязан вести книгу замечаний и предложений</w:t>
      </w:r>
    </w:p>
    <w:p w:rsidR="00A4374F" w:rsidRDefault="00412783">
      <w:pPr>
        <w:pStyle w:val="justify"/>
      </w:pPr>
      <w:r>
        <w:t>Книга замечаний и предложений ведется:</w:t>
      </w:r>
    </w:p>
    <w:p w:rsidR="00A4374F" w:rsidRDefault="00412783">
      <w:pPr>
        <w:pStyle w:val="listtext1"/>
      </w:pPr>
      <w:r>
        <w:t xml:space="preserve">• в организации, у ИП, </w:t>
      </w:r>
      <w:r>
        <w:rPr>
          <w:b/>
          <w:bCs/>
        </w:rPr>
        <w:t>реализующих товары, выполняющих работы, оказывающих услуги</w:t>
      </w:r>
      <w:r>
        <w:t>;</w:t>
      </w:r>
    </w:p>
    <w:p w:rsidR="00A4374F" w:rsidRDefault="00412783">
      <w:pPr>
        <w:pStyle w:val="listtext1"/>
      </w:pPr>
      <w:r>
        <w:t>• в местах реализации товаров, выполнения работ, оказания услуг названными выше организациями, ИП;</w:t>
      </w:r>
    </w:p>
    <w:p w:rsidR="00A4374F" w:rsidRDefault="00412783">
      <w:pPr>
        <w:pStyle w:val="listtext1"/>
      </w:pPr>
      <w:r>
        <w:t>• 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 (абз.</w:t>
      </w:r>
      <w:hyperlink r:id="rId10" w:anchor="a21" w:tooltip="+" w:history="1">
        <w:r>
          <w:rPr>
            <w:rStyle w:val="a3"/>
          </w:rPr>
          <w:t>26-29</w:t>
        </w:r>
      </w:hyperlink>
      <w:r>
        <w:t xml:space="preserve"> подп.1.1 п.1 постановления № 877).</w:t>
      </w:r>
    </w:p>
    <w:p w:rsidR="00A4374F" w:rsidRDefault="00412783">
      <w:pPr>
        <w:pStyle w:val="justify"/>
      </w:pPr>
      <w:r>
        <w:rPr>
          <w:b/>
          <w:bCs/>
        </w:rPr>
        <w:t>Ведение</w:t>
      </w:r>
      <w:r>
        <w:t xml:space="preserve"> ранее выданных книг замечаний и предложений </w:t>
      </w:r>
      <w:r>
        <w:rPr>
          <w:b/>
          <w:bCs/>
        </w:rPr>
        <w:t>госорганами</w:t>
      </w:r>
      <w:r>
        <w:t xml:space="preserve">, а также </w:t>
      </w:r>
      <w:r>
        <w:rPr>
          <w:b/>
          <w:bCs/>
        </w:rPr>
        <w:t>организациями и ИП</w:t>
      </w:r>
      <w:r>
        <w:t xml:space="preserve">, которые </w:t>
      </w:r>
      <w:r>
        <w:rPr>
          <w:b/>
          <w:bCs/>
        </w:rPr>
        <w:t>не уполномочены на их ведение, прекращается</w:t>
      </w:r>
      <w:r>
        <w:t xml:space="preserve"> (</w:t>
      </w:r>
      <w:hyperlink r:id="rId11" w:anchor="a19" w:tooltip="+" w:history="1">
        <w:r>
          <w:rPr>
            <w:rStyle w:val="a3"/>
          </w:rPr>
          <w:t>ч.2</w:t>
        </w:r>
      </w:hyperlink>
      <w:r>
        <w:t xml:space="preserve"> п.2 постановления № 877).</w:t>
      </w:r>
    </w:p>
    <w:p w:rsidR="00A4374F" w:rsidRDefault="00412783">
      <w:pPr>
        <w:pStyle w:val="justify"/>
      </w:pPr>
      <w:r>
        <w:t xml:space="preserve">Вместо </w:t>
      </w:r>
      <w:hyperlink r:id="rId12" w:anchor="a98" w:tooltip="+" w:history="1">
        <w:r>
          <w:rPr>
            <w:rStyle w:val="a3"/>
            <w:b/>
            <w:bCs/>
          </w:rPr>
          <w:t>перечня</w:t>
        </w:r>
      </w:hyperlink>
      <w:r>
        <w:rPr>
          <w:b/>
          <w:bCs/>
        </w:rPr>
        <w:t xml:space="preserve"> мест</w:t>
      </w:r>
      <w:r>
        <w:t xml:space="preserve">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утв. постановлением Совмина от 16.03.2005 № 285, определен </w:t>
      </w:r>
      <w:hyperlink r:id="rId13" w:anchor="a162" w:tooltip="+" w:history="1">
        <w:r>
          <w:rPr>
            <w:rStyle w:val="a3"/>
            <w:b/>
            <w:bCs/>
          </w:rPr>
          <w:t>перечень</w:t>
        </w:r>
      </w:hyperlink>
      <w:r>
        <w:rPr>
          <w:b/>
          <w:bCs/>
        </w:rPr>
        <w:t xml:space="preserve"> сфер</w:t>
      </w:r>
      <w:r>
        <w:t xml:space="preserve"> </w:t>
      </w:r>
      <w:r>
        <w:lastRenderedPageBreak/>
        <w:t>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 (</w:t>
      </w:r>
      <w:hyperlink r:id="rId14" w:anchor="a22" w:tooltip="+" w:history="1">
        <w:r>
          <w:rPr>
            <w:rStyle w:val="a3"/>
          </w:rPr>
          <w:t>абз.8</w:t>
        </w:r>
      </w:hyperlink>
      <w:r>
        <w:t xml:space="preserve"> подп.1.1 п.1 постановления № 877).</w:t>
      </w:r>
    </w:p>
    <w:p w:rsidR="00A4374F" w:rsidRDefault="00412783">
      <w:pPr>
        <w:pStyle w:val="justify"/>
      </w:pPr>
      <w:r>
        <w:t xml:space="preserve">В таблице места реализации товаров (выполнения работ, оказания услуг), в которых </w:t>
      </w:r>
      <w:bookmarkStart w:id="2" w:name="_Hlk127181000"/>
      <w:r>
        <w:t>с 2 января 2023 г. исключена обязанность ведения книги замечаний и предложений</w:t>
      </w:r>
      <w:bookmarkEnd w:id="2"/>
      <w:r>
        <w:t xml:space="preserve">, выделены </w:t>
      </w:r>
      <w:r>
        <w:rPr>
          <w:rStyle w:val="fillpink"/>
        </w:rPr>
        <w:t>розовой</w:t>
      </w:r>
      <w:r>
        <w:t xml:space="preserve"> заливкой, места, в которых такая обязанность </w:t>
      </w:r>
      <w:r>
        <w:rPr>
          <w:b/>
          <w:bCs/>
        </w:rPr>
        <w:t>с 2 января 2023 г.</w:t>
      </w:r>
      <w:r>
        <w:t xml:space="preserve"> устанавливается, - </w:t>
      </w:r>
      <w:r>
        <w:rPr>
          <w:rStyle w:val="fillgreen"/>
        </w:rPr>
        <w:t>зеленой</w:t>
      </w:r>
      <w:r>
        <w:t>.</w:t>
      </w:r>
    </w:p>
    <w:p w:rsidR="00A4374F" w:rsidRDefault="00412783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390"/>
        <w:gridCol w:w="5390"/>
      </w:tblGrid>
      <w:tr w:rsidR="00A4374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A4374F" w:rsidRDefault="00000000">
            <w:pPr>
              <w:jc w:val="center"/>
              <w:rPr>
                <w:rFonts w:ascii="Arial" w:eastAsia="Times New Roman" w:hAnsi="Arial" w:cs="Arial"/>
              </w:rPr>
            </w:pPr>
            <w:hyperlink r:id="rId15" w:anchor="a98" w:tooltip="+" w:history="1">
              <w:r w:rsidR="00412783">
                <w:rPr>
                  <w:rStyle w:val="a3"/>
                  <w:rFonts w:ascii="Arial" w:eastAsia="Times New Roman" w:hAnsi="Arial" w:cs="Arial"/>
                </w:rPr>
                <w:t>Перечень</w:t>
              </w:r>
            </w:hyperlink>
            <w:r w:rsidR="00412783">
              <w:rPr>
                <w:rFonts w:ascii="Arial" w:eastAsia="Times New Roman" w:hAnsi="Arial" w:cs="Arial"/>
              </w:rPr>
              <w:t xml:space="preserve"> мест реализации организациями, ИП товаров, выполнения работ, оказания услуг для ведения книги до 02.01.2023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A4374F" w:rsidRDefault="00000000">
            <w:pPr>
              <w:jc w:val="center"/>
              <w:rPr>
                <w:rFonts w:ascii="Arial" w:eastAsia="Times New Roman" w:hAnsi="Arial" w:cs="Arial"/>
              </w:rPr>
            </w:pPr>
            <w:hyperlink r:id="rId16" w:anchor="a162" w:tooltip="+" w:history="1">
              <w:r w:rsidR="00412783">
                <w:rPr>
                  <w:rStyle w:val="a3"/>
                  <w:rFonts w:ascii="Arial" w:eastAsia="Times New Roman" w:hAnsi="Arial" w:cs="Arial"/>
                </w:rPr>
                <w:t>Перечень</w:t>
              </w:r>
            </w:hyperlink>
            <w:r w:rsidR="00412783">
              <w:rPr>
                <w:rFonts w:ascii="Arial" w:eastAsia="Times New Roman" w:hAnsi="Arial" w:cs="Arial"/>
              </w:rPr>
              <w:t xml:space="preserve"> сфер реализации организациями, ИП товаров, выполнения работ, оказания услуг для ведения книги с 02.01.2023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Торговые объекты (за исключением передвижных средств разносной торговли), торговые места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Торговля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17" w:anchor="a172" w:tooltip="+" w:history="1">
              <w:r>
                <w:rPr>
                  <w:rStyle w:val="a3"/>
                  <w:rFonts w:ascii="Arial" w:eastAsia="Times New Roman" w:hAnsi="Arial" w:cs="Arial"/>
                </w:rPr>
                <w:t>п.1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торговые объекты (за исключением передвижных средств разносной торговли);</w:t>
            </w:r>
            <w:r>
              <w:rPr>
                <w:rFonts w:ascii="Arial" w:eastAsia="Times New Roman" w:hAnsi="Arial" w:cs="Arial"/>
              </w:rPr>
              <w:br/>
              <w:t>- торговые места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Объекты общественного питания (за исключением летних, сезонных кафе)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Общественное питание</w:t>
            </w:r>
            <w:r>
              <w:rPr>
                <w:rFonts w:ascii="Arial" w:eastAsia="Times New Roman" w:hAnsi="Arial" w:cs="Arial"/>
              </w:rPr>
              <w:t xml:space="preserve"> (объекты общественного питания (за исключением летних, сезонных кафе)) (</w:t>
            </w:r>
            <w:hyperlink r:id="rId18" w:anchor="a173" w:tooltip="+" w:history="1">
              <w:r>
                <w:rPr>
                  <w:rStyle w:val="a3"/>
                  <w:rFonts w:ascii="Arial" w:eastAsia="Times New Roman" w:hAnsi="Arial" w:cs="Arial"/>
                </w:rPr>
                <w:t>п.2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Объекты бытового обслуживания и приемные пункты бытового обслуживания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Бытовое обслуживание</w:t>
            </w:r>
            <w:r>
              <w:rPr>
                <w:rFonts w:ascii="Arial" w:eastAsia="Times New Roman" w:hAnsi="Arial" w:cs="Arial"/>
              </w:rPr>
              <w:t xml:space="preserve"> (объекты бытового обслуживания и приемные пункты бытового обслуживания) (</w:t>
            </w:r>
            <w:hyperlink r:id="rId19" w:anchor="a174" w:tooltip="+" w:history="1">
              <w:r>
                <w:rPr>
                  <w:rStyle w:val="a3"/>
                  <w:rFonts w:ascii="Arial" w:eastAsia="Times New Roman" w:hAnsi="Arial" w:cs="Arial"/>
                </w:rPr>
                <w:t>п.3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Приемозаготовительные пункты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Заготовка продукции растениеводства, животноводства, дикорастущей и прочей продукции</w:t>
            </w:r>
            <w:r>
              <w:rPr>
                <w:rFonts w:ascii="Arial" w:eastAsia="Times New Roman" w:hAnsi="Arial" w:cs="Arial"/>
              </w:rPr>
              <w:t xml:space="preserve"> (приемозаготовительные пункты) (</w:t>
            </w:r>
            <w:hyperlink r:id="rId20" w:anchor="a175" w:tooltip="+" w:history="1">
              <w:r>
                <w:rPr>
                  <w:rStyle w:val="a3"/>
                  <w:rFonts w:ascii="Arial" w:eastAsia="Times New Roman" w:hAnsi="Arial" w:cs="Arial"/>
                </w:rPr>
                <w:t>п.6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Перевозка грузов, пассажиров, багажа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1" w:anchor="a176" w:tooltip="+" w:history="1">
              <w:r>
                <w:rPr>
                  <w:rStyle w:val="a3"/>
                  <w:rFonts w:ascii="Arial" w:eastAsia="Times New Roman" w:hAnsi="Arial" w:cs="Arial"/>
                </w:rPr>
                <w:t>п.7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Городские билетные кассы, кассы по продаже авиабилетов, билетные кассы </w:t>
            </w:r>
            <w:r>
              <w:rPr>
                <w:rStyle w:val="fillpink"/>
                <w:rFonts w:ascii="Arial" w:eastAsia="Times New Roman" w:hAnsi="Arial" w:cs="Arial"/>
              </w:rPr>
              <w:t>линейных</w:t>
            </w:r>
            <w:r>
              <w:rPr>
                <w:rFonts w:ascii="Arial" w:eastAsia="Times New Roman" w:hAnsi="Arial" w:cs="Arial"/>
              </w:rPr>
              <w:t xml:space="preserve"> станций и остановочных пунктов, </w:t>
            </w:r>
            <w:r>
              <w:rPr>
                <w:rStyle w:val="fillpink"/>
                <w:rFonts w:ascii="Arial" w:eastAsia="Times New Roman" w:hAnsi="Arial" w:cs="Arial"/>
              </w:rPr>
              <w:t>товарные конторы станций</w:t>
            </w:r>
            <w:r>
              <w:rPr>
                <w:rFonts w:ascii="Arial" w:eastAsia="Times New Roman" w:hAnsi="Arial" w:cs="Arial"/>
              </w:rPr>
              <w:t>, пассажирские поезда.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городские билетные кассы, кассы по продаже авиабилетов, билетные кассы станций </w:t>
            </w:r>
            <w:r>
              <w:rPr>
                <w:rStyle w:val="fillgreen"/>
                <w:rFonts w:ascii="Arial" w:eastAsia="Times New Roman" w:hAnsi="Arial" w:cs="Arial"/>
              </w:rPr>
              <w:t>(вокзалов)</w:t>
            </w:r>
            <w:r>
              <w:rPr>
                <w:rFonts w:ascii="Arial" w:eastAsia="Times New Roman" w:hAnsi="Arial" w:cs="Arial"/>
              </w:rPr>
              <w:t xml:space="preserve"> и остановочных пунктов, </w:t>
            </w:r>
            <w:r>
              <w:rPr>
                <w:rStyle w:val="fillgreen"/>
                <w:rFonts w:ascii="Arial" w:eastAsia="Times New Roman" w:hAnsi="Arial" w:cs="Arial"/>
              </w:rPr>
              <w:t>подразделения по обслуживанию грузоотправителей и грузополучателей,</w:t>
            </w:r>
            <w:r>
              <w:rPr>
                <w:rFonts w:ascii="Arial" w:eastAsia="Times New Roman" w:hAnsi="Arial" w:cs="Arial"/>
              </w:rPr>
              <w:t xml:space="preserve"> пассажирские поезда </w:t>
            </w:r>
            <w:r>
              <w:rPr>
                <w:rStyle w:val="fillgreen"/>
                <w:rFonts w:ascii="Arial" w:eastAsia="Times New Roman" w:hAnsi="Arial" w:cs="Arial"/>
              </w:rPr>
              <w:t>(с нумерованными местами)</w:t>
            </w:r>
            <w:r>
              <w:rPr>
                <w:rFonts w:ascii="Arial" w:eastAsia="Times New Roman" w:hAnsi="Arial" w:cs="Arial"/>
              </w:rPr>
              <w:t>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Диспетчерские пункты городского пассажирского транспорта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диспетчерские пункты городского пассажирского транспорта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Автодорожные пункты пропуска через Государственную границу Республики Беларусь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Диагностические станции и пункты технического </w:t>
            </w:r>
            <w:r>
              <w:rPr>
                <w:rFonts w:ascii="Arial" w:eastAsia="Times New Roman" w:hAnsi="Arial" w:cs="Arial"/>
              </w:rPr>
              <w:lastRenderedPageBreak/>
              <w:t>контроля по проведению государственного технического осмотра транспортных средств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Транспортная деятельность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2" w:anchor="a177" w:tooltip="+" w:history="1">
              <w:r>
                <w:rPr>
                  <w:rStyle w:val="a3"/>
                  <w:rFonts w:ascii="Arial" w:eastAsia="Times New Roman" w:hAnsi="Arial" w:cs="Arial"/>
                </w:rPr>
                <w:t>п.8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 xml:space="preserve">- </w:t>
            </w:r>
            <w:r>
              <w:rPr>
                <w:rStyle w:val="fillgreen"/>
                <w:rFonts w:ascii="Arial" w:eastAsia="Times New Roman" w:hAnsi="Arial" w:cs="Arial"/>
              </w:rPr>
      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      </w:r>
            <w:r>
              <w:rPr>
                <w:rFonts w:ascii="Arial" w:eastAsia="Times New Roman" w:hAnsi="Arial" w:cs="Arial"/>
              </w:rPr>
              <w:br/>
              <w:t>- диагностические станции и пункты технического контроля по проведению государственного технического осмотра транспортных средств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Мотели и иные объекты придорожного сервиса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Придорожный сервис</w:t>
            </w:r>
            <w:r>
              <w:rPr>
                <w:rFonts w:ascii="Arial" w:eastAsia="Times New Roman" w:hAnsi="Arial" w:cs="Arial"/>
              </w:rPr>
              <w:t xml:space="preserve"> (мотели и иные объекты придорожного сервиса) (</w:t>
            </w:r>
            <w:hyperlink r:id="rId23" w:anchor="a178" w:tooltip="+" w:history="1">
              <w:r>
                <w:rPr>
                  <w:rStyle w:val="a3"/>
                  <w:rFonts w:ascii="Arial" w:eastAsia="Times New Roman" w:hAnsi="Arial" w:cs="Arial"/>
                </w:rPr>
                <w:t>п.9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Автошколы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Учебные пункты и центры подготовки и переподготовки водительского состава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Организации здравоохранения, иные организации и ИП, осуществляющие медицинскую и (или) фармацевтическую деятельность в порядке, установленном законодательством, а также обособленные подразделения (филиалы) указанных организаций.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Здравоохранение, санаторно-курортное лечение, оздоровление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4" w:anchor="a179" w:tooltip="+" w:history="1">
              <w:r>
                <w:rPr>
                  <w:rStyle w:val="a3"/>
                  <w:rFonts w:ascii="Arial" w:eastAsia="Times New Roman" w:hAnsi="Arial" w:cs="Arial"/>
                </w:rPr>
                <w:t>п.5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организации здравоохранения, иные организации и ИП, осуществляющие медицинскую и (или) фармацевтическую деятельность, а также обособленные подразделения (филиалы) указанных организаций;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Санаторно-курортные организации, дома отдыха, пансионаты.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санаторно-курортные организации, дома отдыха, пансионаты;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Оздоровительные лагеря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оздоровительные лагеря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Учреждения образования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Жилищно-эксплуатационные организации и другие организации жилищно-коммунального хозяйства.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5" w:anchor="a180" w:tooltip="+" w:history="1">
              <w:r>
                <w:rPr>
                  <w:rStyle w:val="a3"/>
                  <w:rFonts w:ascii="Arial" w:eastAsia="Times New Roman" w:hAnsi="Arial" w:cs="Arial"/>
                </w:rPr>
                <w:t>п.4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Жилищно-строительные кооперативы.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жилищно-строительные кооперативы;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Общежития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общежития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Дипломатические представительства и консульские учреждения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Редакции газет и журналов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Отделения и пункты почтовой связи.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Связь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6" w:anchor="a181" w:tooltip="+" w:history="1">
              <w:r>
                <w:rPr>
                  <w:rStyle w:val="a3"/>
                  <w:rFonts w:ascii="Arial" w:eastAsia="Times New Roman" w:hAnsi="Arial" w:cs="Arial"/>
                </w:rPr>
                <w:t>п.11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отделения и пункты почтовой связи;</w:t>
            </w:r>
            <w:r>
              <w:rPr>
                <w:rFonts w:ascii="Arial" w:eastAsia="Times New Roman" w:hAnsi="Arial" w:cs="Arial"/>
              </w:rPr>
              <w:br/>
              <w:t xml:space="preserve">- </w:t>
            </w:r>
            <w:r>
              <w:rPr>
                <w:rStyle w:val="fillgreen"/>
                <w:rFonts w:ascii="Arial" w:eastAsia="Times New Roman" w:hAnsi="Arial" w:cs="Arial"/>
              </w:rPr>
              <w:t>сервисные центры и пункты операторов электросвязи, поставщиков услуг электросвязи;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Дилерские пункты операторов мобильной связи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дилерские пункты операторов сотовой подвижной электросвязи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Абонентские отделы и цеха продаж услуг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 xml:space="preserve">Цеха расчетов за услуги электросвязи и пункты </w:t>
            </w:r>
            <w:r>
              <w:rPr>
                <w:rStyle w:val="fillpink"/>
                <w:rFonts w:ascii="Arial" w:eastAsia="Times New Roman" w:hAnsi="Arial" w:cs="Arial"/>
              </w:rPr>
              <w:lastRenderedPageBreak/>
              <w:t>коллективного пользования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Кассы театрально-зрелищных организаций и культурно-просветительных учреждений, расположенные вне мест нахождения этих организаций и учреждений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Культура</w:t>
            </w:r>
            <w:r>
              <w:rPr>
                <w:rFonts w:ascii="Arial" w:eastAsia="Times New Roman" w:hAnsi="Arial" w:cs="Arial"/>
              </w:rPr>
              <w:t xml:space="preserve"> (кассы театрально-зрелищных организаций и культурно-просветительных учреждений, расположенные вне мест нахождения этих организаций и учреждений) (</w:t>
            </w:r>
            <w:hyperlink r:id="rId27" w:anchor="a182" w:tooltip="+" w:history="1">
              <w:r>
                <w:rPr>
                  <w:rStyle w:val="a3"/>
                  <w:rFonts w:ascii="Arial" w:eastAsia="Times New Roman" w:hAnsi="Arial" w:cs="Arial"/>
                </w:rPr>
                <w:t>п.12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Банки, их филиалы, структурные подразделения банков, их филиалов, за исключением обменных пунктов, а также удаленных рабочих мест.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Банковская, финансовая деятельность, страхование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8" w:anchor="a183" w:tooltip="+" w:history="1">
              <w:r>
                <w:rPr>
                  <w:rStyle w:val="a3"/>
                  <w:rFonts w:ascii="Arial" w:eastAsia="Times New Roman" w:hAnsi="Arial" w:cs="Arial"/>
                </w:rPr>
                <w:t>п.10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банки, их филиалы, структурные подразделения банков, их филиалов, за исключением обменных пунктов, а также удаленных рабочих мест;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Места предоставления микрозаймов (заключения договоров микрозайма).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- места предоставления микрозаймов (заключения договоров микрозайма);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Места осуществления лизинговой деятельности.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места осуществления лизинговой деятельности;</w:t>
            </w:r>
          </w:p>
        </w:tc>
      </w:tr>
      <w:tr w:rsidR="00A4374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Места оказания страховых услуг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места оказания страховых услуг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Пункты таможенного оформления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Центры статистического декларирования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Территориальные центры социального обслуживания населения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Style w:val="fillpink"/>
                <w:rFonts w:ascii="Arial" w:eastAsia="Times New Roman" w:hAnsi="Arial" w:cs="Arial"/>
              </w:rPr>
              <w:t>Автомобильные стоянки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A4374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Нотариальные конторы, нотариальные бюро, юридические консультации и другие места оказания юридических услуг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4374F" w:rsidRDefault="00412783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Юстиция</w:t>
            </w:r>
            <w:r>
              <w:rPr>
                <w:rFonts w:ascii="Arial" w:eastAsia="Times New Roman" w:hAnsi="Arial" w:cs="Arial"/>
              </w:rPr>
              <w:t xml:space="preserve"> (</w:t>
            </w:r>
            <w:hyperlink r:id="rId29" w:anchor="a184" w:tooltip="+" w:history="1">
              <w:r>
                <w:rPr>
                  <w:rStyle w:val="a3"/>
                  <w:rFonts w:ascii="Arial" w:eastAsia="Times New Roman" w:hAnsi="Arial" w:cs="Arial"/>
                </w:rPr>
                <w:t>п.13</w:t>
              </w:r>
            </w:hyperlink>
            <w:r>
              <w:rPr>
                <w:rFonts w:ascii="Arial" w:eastAsia="Times New Roman" w:hAnsi="Arial" w:cs="Arial"/>
              </w:rPr>
              <w:t>):</w:t>
            </w:r>
            <w:r>
              <w:rPr>
                <w:rFonts w:ascii="Arial" w:eastAsia="Times New Roman" w:hAnsi="Arial" w:cs="Arial"/>
              </w:rPr>
              <w:br/>
              <w:t>- нотариальные конторы, нотариальные бюро, юридические консультации и другие места оказания юридических услуг;</w:t>
            </w:r>
            <w:r>
              <w:rPr>
                <w:rFonts w:ascii="Arial" w:eastAsia="Times New Roman" w:hAnsi="Arial" w:cs="Arial"/>
              </w:rPr>
              <w:br/>
              <w:t xml:space="preserve">- </w:t>
            </w:r>
            <w:r>
              <w:rPr>
                <w:rStyle w:val="fillgreen"/>
                <w:rFonts w:ascii="Arial" w:eastAsia="Times New Roman" w:hAnsi="Arial" w:cs="Arial"/>
              </w:rPr>
              <w:t>риэлтерские организации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A4374F" w:rsidRDefault="00412783">
            <w:pPr>
              <w:pStyle w:val="primsit"/>
            </w:pPr>
            <w:r>
              <w:t>Обратите внимание!</w:t>
            </w:r>
          </w:p>
          <w:p w:rsidR="00A4374F" w:rsidRDefault="004127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 1 января 2023 г. риэлтерская деятельность станет самостоятельным лицензируемым видом деятельности (</w:t>
            </w:r>
            <w:hyperlink r:id="rId30" w:anchor="a277" w:tooltip="+" w:history="1">
              <w:r>
                <w:rPr>
                  <w:rStyle w:val="a3"/>
                  <w:rFonts w:ascii="Arial" w:eastAsia="Times New Roman" w:hAnsi="Arial" w:cs="Arial"/>
                </w:rPr>
                <w:t>гл.39</w:t>
              </w:r>
            </w:hyperlink>
            <w:r>
              <w:rPr>
                <w:rFonts w:ascii="Arial" w:eastAsia="Times New Roman" w:hAnsi="Arial" w:cs="Arial"/>
              </w:rPr>
              <w:t xml:space="preserve"> Закона от 14.10.2022 № 213-З «О лицензировании»). В настоящее время это составляющая деятельности по оказанию юридических услуг (</w:t>
            </w:r>
            <w:hyperlink r:id="rId31" w:anchor="a1294" w:tooltip="+" w:history="1">
              <w:r>
                <w:rPr>
                  <w:rStyle w:val="a3"/>
                  <w:rFonts w:ascii="Arial" w:eastAsia="Times New Roman" w:hAnsi="Arial" w:cs="Arial"/>
                </w:rPr>
                <w:t>подп.28.3</w:t>
              </w:r>
            </w:hyperlink>
            <w:r>
              <w:rPr>
                <w:rFonts w:ascii="Arial" w:eastAsia="Times New Roman" w:hAnsi="Arial" w:cs="Arial"/>
              </w:rPr>
              <w:t xml:space="preserve"> п.28 Перечня № 450)</w:t>
            </w:r>
          </w:p>
        </w:tc>
      </w:tr>
    </w:tbl>
    <w:p w:rsidR="00412783" w:rsidRDefault="00412783">
      <w:pPr>
        <w:rPr>
          <w:rFonts w:eastAsia="Times New Roman"/>
        </w:rPr>
      </w:pPr>
    </w:p>
    <w:sectPr w:rsidR="004127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1C"/>
    <w:rsid w:val="000D6C23"/>
    <w:rsid w:val="0030171C"/>
    <w:rsid w:val="00412783"/>
    <w:rsid w:val="00A14A61"/>
    <w:rsid w:val="00A4374F"/>
    <w:rsid w:val="00CA5631"/>
    <w:rsid w:val="00D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264B-3EB9-43CD-B362-3E0FF65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728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14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39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205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66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886477682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80;&#1090;&#1072;&#1081;&#1083;&#1080;&#1081;\Downloads\tx.dll%3fd=77452&amp;a=162" TargetMode="External"/><Relationship Id="rId18" Type="http://schemas.openxmlformats.org/officeDocument/2006/relationships/hyperlink" Target="file:///C:\Users\&#1042;&#1080;&#1090;&#1072;&#1081;&#1083;&#1080;&#1081;\Downloads\tx.dll%3fd=77452&amp;a=173" TargetMode="External"/><Relationship Id="rId26" Type="http://schemas.openxmlformats.org/officeDocument/2006/relationships/hyperlink" Target="file:///C:\Users\&#1042;&#1080;&#1090;&#1072;&#1081;&#1083;&#1080;&#1081;\Downloads\tx.dll%3fd=77452&amp;a=18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2;&#1080;&#1090;&#1072;&#1081;&#1083;&#1080;&#1081;\Downloads\tx.dll%3fd=77452&amp;a=176" TargetMode="External"/><Relationship Id="rId7" Type="http://schemas.openxmlformats.org/officeDocument/2006/relationships/hyperlink" Target="file:///C:\Users\&#1042;&#1080;&#1090;&#1072;&#1081;&#1083;&#1080;&#1081;\Downloads\tx.dll%3fd=620805&amp;a=20" TargetMode="External"/><Relationship Id="rId12" Type="http://schemas.openxmlformats.org/officeDocument/2006/relationships/hyperlink" Target="file:///C:\Users\&#1042;&#1080;&#1090;&#1072;&#1081;&#1083;&#1080;&#1081;\Downloads\tx.dll%3fd=77452&amp;a=98" TargetMode="External"/><Relationship Id="rId17" Type="http://schemas.openxmlformats.org/officeDocument/2006/relationships/hyperlink" Target="file:///C:\Users\&#1042;&#1080;&#1090;&#1072;&#1081;&#1083;&#1080;&#1081;\Downloads\tx.dll%3fd=77452&amp;a=172" TargetMode="External"/><Relationship Id="rId25" Type="http://schemas.openxmlformats.org/officeDocument/2006/relationships/hyperlink" Target="file:///C:\Users\&#1042;&#1080;&#1090;&#1072;&#1081;&#1083;&#1080;&#1081;\Downloads\tx.dll%3fd=77452&amp;a=1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2;&#1080;&#1090;&#1072;&#1081;&#1083;&#1080;&#1081;\Downloads\tx.dll%3fd=77452&amp;a=162" TargetMode="External"/><Relationship Id="rId20" Type="http://schemas.openxmlformats.org/officeDocument/2006/relationships/hyperlink" Target="file:///C:\Users\&#1042;&#1080;&#1090;&#1072;&#1081;&#1083;&#1080;&#1081;\Downloads\tx.dll%3fd=77452&amp;a=175" TargetMode="External"/><Relationship Id="rId29" Type="http://schemas.openxmlformats.org/officeDocument/2006/relationships/hyperlink" Target="file:///C:\Users\&#1042;&#1080;&#1090;&#1072;&#1081;&#1083;&#1080;&#1081;\Downloads\tx.dll%3fd=77452&amp;a=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0;&#1090;&#1072;&#1081;&#1083;&#1080;&#1081;\Downloads\tx.dll%3fd=77452&amp;a=82" TargetMode="External"/><Relationship Id="rId11" Type="http://schemas.openxmlformats.org/officeDocument/2006/relationships/hyperlink" Target="file:///C:\Users\&#1042;&#1080;&#1090;&#1072;&#1081;&#1083;&#1080;&#1081;\Downloads\tx.dll%3fd=620805&amp;a=19" TargetMode="External"/><Relationship Id="rId24" Type="http://schemas.openxmlformats.org/officeDocument/2006/relationships/hyperlink" Target="file:///C:\Users\&#1042;&#1080;&#1090;&#1072;&#1081;&#1083;&#1080;&#1081;\Downloads\tx.dll%3fd=77452&amp;a=179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&#1042;&#1080;&#1090;&#1072;&#1081;&#1083;&#1080;&#1081;\Downloads\tx.dll%3fd=620805&amp;a=1" TargetMode="External"/><Relationship Id="rId15" Type="http://schemas.openxmlformats.org/officeDocument/2006/relationships/hyperlink" Target="file:///C:\Users\&#1042;&#1080;&#1090;&#1072;&#1081;&#1083;&#1080;&#1081;\Downloads\tx.dll%3fd=77452&amp;a=98" TargetMode="External"/><Relationship Id="rId23" Type="http://schemas.openxmlformats.org/officeDocument/2006/relationships/hyperlink" Target="file:///C:\Users\&#1042;&#1080;&#1090;&#1072;&#1081;&#1083;&#1080;&#1081;\Downloads\tx.dll%3fd=77452&amp;a=178" TargetMode="External"/><Relationship Id="rId28" Type="http://schemas.openxmlformats.org/officeDocument/2006/relationships/hyperlink" Target="file:///C:\Users\&#1042;&#1080;&#1090;&#1072;&#1081;&#1083;&#1080;&#1081;\Downloads\tx.dll%3fd=77452&amp;a=183" TargetMode="External"/><Relationship Id="rId10" Type="http://schemas.openxmlformats.org/officeDocument/2006/relationships/hyperlink" Target="file:///C:\Users\&#1042;&#1080;&#1090;&#1072;&#1081;&#1083;&#1080;&#1081;\Downloads\tx.dll%3fd=620805&amp;a=21" TargetMode="External"/><Relationship Id="rId19" Type="http://schemas.openxmlformats.org/officeDocument/2006/relationships/hyperlink" Target="file:///C:\Users\&#1042;&#1080;&#1090;&#1072;&#1081;&#1083;&#1080;&#1081;\Downloads\tx.dll%3fd=77452&amp;a=174" TargetMode="External"/><Relationship Id="rId31" Type="http://schemas.openxmlformats.org/officeDocument/2006/relationships/hyperlink" Target="file:///C:\Users\&#1042;&#1080;&#1090;&#1072;&#1081;&#1083;&#1080;&#1081;\Downloads\tx.dll%3fd=194156&amp;a=1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0;&#1090;&#1072;&#1081;&#1083;&#1080;&#1081;\Downloads\tx.dll%3fd=620805&amp;a=18" TargetMode="External"/><Relationship Id="rId14" Type="http://schemas.openxmlformats.org/officeDocument/2006/relationships/hyperlink" Target="file:///C:\Users\&#1042;&#1080;&#1090;&#1072;&#1081;&#1083;&#1080;&#1081;\Downloads\tx.dll%3fd=620805&amp;a=22" TargetMode="External"/><Relationship Id="rId22" Type="http://schemas.openxmlformats.org/officeDocument/2006/relationships/hyperlink" Target="file:///C:\Users\&#1042;&#1080;&#1090;&#1072;&#1081;&#1083;&#1080;&#1081;\Downloads\tx.dll%3fd=77452&amp;a=177" TargetMode="External"/><Relationship Id="rId27" Type="http://schemas.openxmlformats.org/officeDocument/2006/relationships/hyperlink" Target="file:///C:\Users\&#1042;&#1080;&#1090;&#1072;&#1081;&#1083;&#1080;&#1081;\Downloads\tx.dll%3fd=77452&amp;a=182" TargetMode="External"/><Relationship Id="rId30" Type="http://schemas.openxmlformats.org/officeDocument/2006/relationships/hyperlink" Target="file:///C:\Users\&#1042;&#1080;&#1090;&#1072;&#1081;&#1083;&#1080;&#1081;\Downloads\tx.dll%3fd=614434&amp;a=277" TargetMode="External"/><Relationship Id="rId8" Type="http://schemas.openxmlformats.org/officeDocument/2006/relationships/hyperlink" Target="file:///C:\Users\&#1042;&#1080;&#1090;&#1072;&#1081;&#1083;&#1080;&#1081;\Downloads\tx.dll%3fd=62080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9FD8-C34B-46A4-BEE0-631D7E12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Samuylich</dc:creator>
  <cp:lastModifiedBy>Vitaliy Samuylich</cp:lastModifiedBy>
  <cp:revision>2</cp:revision>
  <cp:lastPrinted>2023-02-13T08:08:00Z</cp:lastPrinted>
  <dcterms:created xsi:type="dcterms:W3CDTF">2023-02-13T09:18:00Z</dcterms:created>
  <dcterms:modified xsi:type="dcterms:W3CDTF">2023-02-13T09:18:00Z</dcterms:modified>
</cp:coreProperties>
</file>